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78" w:rsidRDefault="00CC3878" w:rsidP="00CC387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CC3878" w:rsidRDefault="00CC3878" w:rsidP="00CC38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Московской области</w:t>
      </w:r>
    </w:p>
    <w:p w:rsidR="00CC3878" w:rsidRDefault="00CC3878" w:rsidP="00CC3878">
      <w:pPr>
        <w:spacing w:after="0" w:line="408" w:lineRule="auto"/>
        <w:ind w:left="-567" w:right="-284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</w:p>
    <w:p w:rsidR="00CC3878" w:rsidRDefault="00CC3878" w:rsidP="00CC387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Одинцовская гимназия № 11</w:t>
      </w:r>
    </w:p>
    <w:p w:rsidR="00CC3878" w:rsidRDefault="00CC3878" w:rsidP="00CC38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C3878" w:rsidRDefault="00CC3878" w:rsidP="00CC38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C3878" w:rsidRDefault="00CC3878" w:rsidP="00CC38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C3878" w:rsidRDefault="00CC3878" w:rsidP="00CC38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CC3878" w:rsidTr="00CC3878">
        <w:tc>
          <w:tcPr>
            <w:tcW w:w="3119" w:type="dxa"/>
          </w:tcPr>
          <w:p w:rsidR="00CC3878" w:rsidRDefault="00CC3878">
            <w:pPr>
              <w:tabs>
                <w:tab w:val="left" w:pos="2582"/>
              </w:tabs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РАССМОТРЕНА</w:t>
            </w:r>
          </w:p>
          <w:p w:rsidR="00CC3878" w:rsidRDefault="00CC3878">
            <w:pPr>
              <w:tabs>
                <w:tab w:val="left" w:pos="2582"/>
              </w:tabs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 учителей точных наук</w:t>
            </w:r>
          </w:p>
          <w:p w:rsidR="00CC3878" w:rsidRDefault="00CC3878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Фархутдинова Г. Г.</w:t>
            </w:r>
          </w:p>
          <w:p w:rsidR="00CC3878" w:rsidRDefault="00CC3878">
            <w:pPr>
              <w:tabs>
                <w:tab w:val="left" w:pos="25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6 от 27.06.2025</w:t>
            </w:r>
          </w:p>
          <w:p w:rsidR="00CC3878" w:rsidRDefault="00CC3878">
            <w:pPr>
              <w:tabs>
                <w:tab w:val="left" w:pos="2582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C3878" w:rsidRDefault="00CC38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 w:rsidR="00CC3878" w:rsidRDefault="00CC38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CC3878" w:rsidRDefault="00CC3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  <w:p w:rsidR="00CC3878" w:rsidRDefault="00CC3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6 от 30.06.2025</w:t>
            </w:r>
          </w:p>
          <w:p w:rsidR="00CC3878" w:rsidRDefault="00CC3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3878" w:rsidRDefault="00CC38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:rsidR="00CC3878" w:rsidRDefault="00CC38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Одинцовской гимназии № 11</w:t>
            </w:r>
          </w:p>
          <w:p w:rsidR="00CC3878" w:rsidRDefault="00CC3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____________Драчева Н.Ю. Приказ № 155 от 01.07.2025 г</w:t>
            </w:r>
          </w:p>
          <w:p w:rsidR="00CC3878" w:rsidRDefault="00CC3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0D10">
        <w:rPr>
          <w:rFonts w:ascii="Times New Roman" w:eastAsia="Times New Roman" w:hAnsi="Times New Roman" w:cs="Times New Roman"/>
          <w:b/>
          <w:sz w:val="32"/>
          <w:szCs w:val="32"/>
        </w:rPr>
        <w:t>РАБОЧАЯ</w:t>
      </w:r>
      <w:r w:rsidRPr="00760D10">
        <w:rPr>
          <w:rFonts w:ascii="Times New Roman" w:eastAsia="Times New Roman" w:hAnsi="Times New Roman" w:cs="Times New Roman"/>
          <w:b/>
          <w:spacing w:val="8"/>
          <w:sz w:val="32"/>
          <w:szCs w:val="32"/>
        </w:rPr>
        <w:t xml:space="preserve"> </w:t>
      </w:r>
      <w:r w:rsidRPr="00760D10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:rsidR="00760D10" w:rsidRPr="00760D10" w:rsidRDefault="00760D10" w:rsidP="00760D10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0D10">
        <w:rPr>
          <w:rFonts w:ascii="Times New Roman" w:eastAsia="Times New Roman" w:hAnsi="Times New Roman" w:cs="Times New Roman"/>
          <w:b/>
          <w:sz w:val="32"/>
          <w:szCs w:val="32"/>
        </w:rPr>
        <w:t>КУРСА</w:t>
      </w:r>
      <w:r w:rsidRPr="00760D10">
        <w:rPr>
          <w:rFonts w:ascii="Times New Roman" w:eastAsia="Times New Roman" w:hAnsi="Times New Roman" w:cs="Times New Roman"/>
          <w:b/>
          <w:spacing w:val="6"/>
          <w:sz w:val="32"/>
          <w:szCs w:val="32"/>
        </w:rPr>
        <w:t xml:space="preserve"> </w:t>
      </w:r>
      <w:r w:rsidRPr="00760D10">
        <w:rPr>
          <w:rFonts w:ascii="Times New Roman" w:eastAsia="Times New Roman" w:hAnsi="Times New Roman" w:cs="Times New Roman"/>
          <w:b/>
          <w:sz w:val="32"/>
          <w:szCs w:val="32"/>
        </w:rPr>
        <w:t>ВНЕУРОЧНОЙ</w:t>
      </w:r>
      <w:r w:rsidRPr="00760D10">
        <w:rPr>
          <w:rFonts w:ascii="Times New Roman" w:eastAsia="Times New Roman" w:hAnsi="Times New Roman" w:cs="Times New Roman"/>
          <w:b/>
          <w:spacing w:val="7"/>
          <w:sz w:val="32"/>
          <w:szCs w:val="32"/>
        </w:rPr>
        <w:t xml:space="preserve"> </w:t>
      </w:r>
      <w:r w:rsidRPr="00760D10">
        <w:rPr>
          <w:rFonts w:ascii="Times New Roman" w:eastAsia="Times New Roman" w:hAnsi="Times New Roman" w:cs="Times New Roman"/>
          <w:b/>
          <w:sz w:val="32"/>
          <w:szCs w:val="32"/>
        </w:rPr>
        <w:t>ДЕЯТЕЛЬНОСТИ</w:t>
      </w:r>
    </w:p>
    <w:p w:rsidR="00760D10" w:rsidRPr="00760D10" w:rsidRDefault="00760D10" w:rsidP="00760D10">
      <w:pPr>
        <w:widowControl w:val="0"/>
        <w:autoSpaceDE w:val="0"/>
        <w:autoSpaceDN w:val="0"/>
        <w:spacing w:after="0" w:line="360" w:lineRule="auto"/>
        <w:ind w:right="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0D10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ФИНАНСОВАЯ ГРАМОТНОСТЬ</w:t>
      </w:r>
      <w:r w:rsidRPr="00760D10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760D10" w:rsidRPr="00760D10" w:rsidRDefault="00760D10" w:rsidP="00760D10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60D10">
        <w:rPr>
          <w:rFonts w:ascii="Times New Roman" w:eastAsia="Times New Roman" w:hAnsi="Times New Roman" w:cs="Times New Roman"/>
          <w:sz w:val="32"/>
          <w:szCs w:val="32"/>
        </w:rPr>
        <w:t xml:space="preserve">(для </w:t>
      </w:r>
      <w:r>
        <w:rPr>
          <w:rFonts w:ascii="Times New Roman" w:eastAsia="Times New Roman" w:hAnsi="Times New Roman" w:cs="Times New Roman"/>
          <w:sz w:val="32"/>
          <w:szCs w:val="32"/>
        </w:rPr>
        <w:t>10-11</w:t>
      </w:r>
      <w:r w:rsidRPr="00760D10">
        <w:rPr>
          <w:rFonts w:ascii="Times New Roman" w:eastAsia="Times New Roman" w:hAnsi="Times New Roman" w:cs="Times New Roman"/>
          <w:sz w:val="32"/>
          <w:szCs w:val="32"/>
        </w:rPr>
        <w:t xml:space="preserve"> классов)</w:t>
      </w:r>
    </w:p>
    <w:p w:rsidR="00760D10" w:rsidRPr="00760D10" w:rsidRDefault="00760D10" w:rsidP="00760D10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760D10" w:rsidRPr="00760D10" w:rsidRDefault="00760D10" w:rsidP="00760D10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</w:rPr>
      </w:pPr>
    </w:p>
    <w:p w:rsidR="00CC3878" w:rsidRDefault="00CC3878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878" w:rsidRDefault="00CC3878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A6D" w:rsidRPr="00BA0A6D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BA0A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C3878" w:rsidRDefault="00CC3878" w:rsidP="00BA0A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BA0A6D" w:rsidRPr="00760D10" w:rsidRDefault="00BA0A6D" w:rsidP="00BA0A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Раздел 1. Пояснительная записка.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Программа курса внеурочной деятельности «Финансовая грамотность» для учащихся 10-11классов рассчитана </w:t>
      </w: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создания </w:t>
      </w: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(ФГОС СОО).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курса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полученные знания в реальной жизни.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задачи с финансово-экономическим содержанием включены в материалы итоговой аттестации за курс основной школы, ЕГЭ.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Нормативные документы, обеспечивающие реализацию программы:</w:t>
      </w:r>
    </w:p>
    <w:p w:rsidR="00BA0A6D" w:rsidRPr="00760D10" w:rsidRDefault="00BA0A6D" w:rsidP="00BA0A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      Федеральный закон от 29.12.2012 №273-ФЗ «Об образовании в Российской Федерации»;</w:t>
      </w:r>
    </w:p>
    <w:p w:rsidR="00BA0A6D" w:rsidRPr="00760D10" w:rsidRDefault="00BA0A6D" w:rsidP="00BA0A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      Концепция Национальной программы повышения уровня финансовой грамотности населения РФ;</w:t>
      </w:r>
    </w:p>
    <w:p w:rsidR="00BA0A6D" w:rsidRPr="00760D10" w:rsidRDefault="00BA0A6D" w:rsidP="00BA0A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      Проект Минфина России «Содействие повышению уровня финансовой грамотности населения и развитию финансового образования в РФ;</w:t>
      </w:r>
    </w:p>
    <w:p w:rsidR="00BA0A6D" w:rsidRPr="00760D10" w:rsidRDefault="00BA0A6D" w:rsidP="00BA0A6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         Учебная программа «Финансовая грамотность» </w:t>
      </w:r>
      <w:proofErr w:type="spellStart"/>
      <w:r w:rsidRPr="00760D1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Ю.Брехова</w:t>
      </w:r>
      <w:proofErr w:type="spellEnd"/>
      <w:r w:rsidRPr="00760D1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proofErr w:type="spellStart"/>
      <w:r w:rsidRPr="00760D1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А.Алмосов</w:t>
      </w:r>
      <w:proofErr w:type="spellEnd"/>
      <w:r w:rsidRPr="00760D1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proofErr w:type="spellStart"/>
      <w:r w:rsidRPr="00760D1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Д.Завьялов</w:t>
      </w:r>
      <w:proofErr w:type="spellEnd"/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Е. Б. </w:t>
      </w:r>
      <w:proofErr w:type="spellStart"/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Лавренова</w:t>
      </w:r>
      <w:proofErr w:type="spellEnd"/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2018г.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Раздел 2. Общая характеристика учебного предмета, курса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основе курса «Финансовая грамотность» для 10–11 классов лежит системно-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деятельностный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подход, в нём отражены личностные и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метапредметные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образования для организации внеурочного обучения по программам финансовой грамотности.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</w:t>
      </w: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а учащиеся – осознать, что полученные знания по предметам тесно взаимосвязаны и могут пригодиться в повседневной жизни.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 и математикой.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Так, в курсе предлагается раскрытие ключевых вопросов, связанных с функционированием финансовых институтов и взаимодействием с ними. 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Курс «Финансовая грамотность» для 10–11 классов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молодым людям на определённом этапе 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 «Пенсия и пенсионные накопления».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Цель обучения</w:t>
      </w: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Задачи программы</w:t>
      </w: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 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благосостояния;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•        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 усвоение обобщенных способов проектирования и планирования действий при решении финансовых задач.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                     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Раздел 3. Место учебного предмета в учебном плане.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Данный курс является общеобразовательным курсом базового уровня и рассчитан на изучение учащимися 10-11 классов в течение 68 часов (в том числе в X классе - 34 учебных часа из расчета 1 час в неделю и в XI классе - 34 учебных часа из расчета 1 час в неделю). Программа соответствует ФГОС СОО, реализует </w:t>
      </w:r>
      <w:proofErr w:type="spellStart"/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общеинтеллектуальное</w:t>
      </w:r>
      <w:proofErr w:type="spellEnd"/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направление внеурочной деятельности.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Планируемые результаты изучения предмета.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Программа внеурочной </w:t>
      </w:r>
      <w:proofErr w:type="gramStart"/>
      <w:r w:rsidRPr="00760D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деятельности  направлена</w:t>
      </w:r>
      <w:proofErr w:type="gramEnd"/>
      <w:r w:rsidRPr="00760D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достижение следующих личностных, </w:t>
      </w:r>
      <w:proofErr w:type="spellStart"/>
      <w:r w:rsidRPr="00760D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метапредметных</w:t>
      </w:r>
      <w:proofErr w:type="spellEnd"/>
      <w:r w:rsidRPr="00760D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предметных результатов обучения (сформулированы на основе ФГОС СОО с использованием списка </w:t>
      </w:r>
      <w:proofErr w:type="spellStart"/>
      <w:r w:rsidRPr="00760D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общеучебных</w:t>
      </w:r>
      <w:proofErr w:type="spellEnd"/>
      <w:r w:rsidRPr="00760D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умений и способов действий):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Требования к личностным результатам освоения курса: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способность к самостоятельным решениям в области управления личными финансами;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•         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сформированность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понимание прав и обязанностей в сфере управления личными финансами;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готовность и способность к финансовому образованию и самообразованию во взрослой жизни;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сознательное отношение к непрерывному финансовому самообразованию как условию достижения финансового благополучия;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учебная программа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Требования к интеллектуальным (</w:t>
      </w:r>
      <w:proofErr w:type="spellStart"/>
      <w:r w:rsidRPr="00760D10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метапредметным</w:t>
      </w:r>
      <w:proofErr w:type="spellEnd"/>
      <w:r w:rsidRPr="00760D10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) результатам освоения курса</w:t>
      </w: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умение выявлять альтернативные пути достижения поставленных финансовых целей;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способность и готовность к самостоятельному поиску методов решения финансовых проблем;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•         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 умение общаться и взаимодействовать с учащимися и педагогом в рамках занятий по финансовой грамотности.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Требования к предметным результатам освоения курса</w:t>
      </w: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•         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стартап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 бизнес-план; бизнес-ангел; венчурный предприниматель; финансовое мошенничество; финансовые пирамиды;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          </w:t>
      </w: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владение знанием</w:t>
      </w: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об основных целях управления личными финансами,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мотивах сбережений, возможностях и ограничениях использования заёмных средств;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 видах финансовых рисков и способах минимизации их последствий для семейного бюджета;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 функционировании страхового рынка, субъектах страхования, страховых продуктах и их специфике;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об основах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Содержание учебного предмета, курса.</w:t>
      </w:r>
    </w:p>
    <w:p w:rsidR="00BA0A6D" w:rsidRPr="00760D10" w:rsidRDefault="00BA0A6D" w:rsidP="00BA0A6D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 финансовой грамотности в 10—11классах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5688"/>
        <w:gridCol w:w="1539"/>
        <w:gridCol w:w="1447"/>
      </w:tblGrid>
      <w:tr w:rsidR="00BA0A6D" w:rsidRPr="00760D10" w:rsidTr="00BA0A6D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ч.</w:t>
            </w:r>
          </w:p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класс</w:t>
            </w:r>
          </w:p>
        </w:tc>
        <w:tc>
          <w:tcPr>
            <w:tcW w:w="1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ч.</w:t>
            </w:r>
          </w:p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класс</w:t>
            </w:r>
          </w:p>
        </w:tc>
      </w:tr>
      <w:tr w:rsidR="00BA0A6D" w:rsidRPr="00760D10" w:rsidTr="00BA0A6D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Банки: чем они могут быть вам полезны в жизни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A0A6D" w:rsidRPr="00760D10" w:rsidTr="00BA0A6D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Фондовый рынок: как его использовать для роста доходов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A0A6D" w:rsidRPr="00760D10" w:rsidTr="00BA0A6D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Налоги: почему их надо платить и чем грозит неуплата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BA0A6D" w:rsidRPr="00760D10" w:rsidTr="00BA0A6D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4.       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Страхование: что и как надо страховать, чтобы не попасть в беду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A0A6D" w:rsidRPr="00760D10" w:rsidTr="00BA0A6D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5.       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Собственный бизнес: как создать и не потерять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A0A6D" w:rsidRPr="00760D10" w:rsidTr="00BA0A6D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6.       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мошенничества: как распознать и не стать жертвой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A0A6D" w:rsidRPr="00760D10" w:rsidTr="00BA0A6D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7.       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Обеспеченная старость: возможности пенсионного  накопления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BA0A6D" w:rsidRPr="00760D10" w:rsidTr="00BA0A6D"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8.       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занятие по курсу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BA0A6D" w:rsidRPr="00760D10" w:rsidRDefault="00BA0A6D" w:rsidP="00BA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Тематическое планирование.</w:t>
      </w:r>
    </w:p>
    <w:p w:rsidR="00BA0A6D" w:rsidRPr="00760D10" w:rsidRDefault="00BA0A6D" w:rsidP="00BA0A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</w:p>
    <w:tbl>
      <w:tblPr>
        <w:tblW w:w="4950" w:type="pct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580"/>
        <w:gridCol w:w="1859"/>
        <w:gridCol w:w="5171"/>
      </w:tblGrid>
      <w:tr w:rsidR="00BA0A6D" w:rsidRPr="00760D10" w:rsidTr="00BA0A6D">
        <w:trPr>
          <w:trHeight w:val="703"/>
        </w:trPr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Характеристи</w:t>
            </w:r>
            <w:proofErr w:type="spellEnd"/>
          </w:p>
          <w:p w:rsidR="00BA0A6D" w:rsidRPr="00760D10" w:rsidRDefault="00BA0A6D" w:rsidP="00BA0A6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 основных видов деятельности обучающихся</w:t>
            </w:r>
          </w:p>
        </w:tc>
        <w:tc>
          <w:tcPr>
            <w:tcW w:w="5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left="34"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Базовые понятия, личностные характеристики и установки, умения, компетенции</w:t>
            </w:r>
          </w:p>
        </w:tc>
      </w:tr>
      <w:tr w:rsidR="00BA0A6D" w:rsidRPr="00760D10" w:rsidTr="00BA0A6D">
        <w:trPr>
          <w:trHeight w:val="1137"/>
        </w:trPr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Банки: чем они могут быть вам полезны в жизни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Познавательная деятельность, познавательные беседы, исследователь</w:t>
            </w:r>
          </w:p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ская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Базовые понятия и знания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Банковская система, коммерческий банк, депозит, система страхования вкладов, кредит, кредитная история, процент, ипотека, кредитная карта, </w:t>
            </w:r>
            <w:proofErr w:type="gram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авто-кредитование</w:t>
            </w:r>
            <w:proofErr w:type="gram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потребительское кредитование. 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Личностные характеристики и установки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Умения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Компетенции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      </w:r>
          </w:p>
        </w:tc>
      </w:tr>
      <w:tr w:rsidR="00BA0A6D" w:rsidRPr="00760D10" w:rsidTr="00BA0A6D">
        <w:trPr>
          <w:trHeight w:val="706"/>
        </w:trPr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Фондовый рынок: как его использовать для роста доходов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Познавательная деятельность, познавательные беседы, исследователь</w:t>
            </w:r>
          </w:p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ская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Базовые понятия и знания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 Понятие фондового рынка, виды ценных бумаг, разновидности паевых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Личностные характеристики и установки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Умения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lastRenderedPageBreak/>
              <w:t> Компетенции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      </w:r>
          </w:p>
        </w:tc>
      </w:tr>
      <w:tr w:rsidR="00BA0A6D" w:rsidRPr="00760D10" w:rsidTr="00BA0A6D">
        <w:trPr>
          <w:trHeight w:val="769"/>
        </w:trPr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Налоги: почему их надо платить и чем грозит неуплата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Познавательная деятельность, познавательные беседы, исследователь</w:t>
            </w:r>
          </w:p>
          <w:p w:rsidR="00BA0A6D" w:rsidRPr="00760D10" w:rsidRDefault="00BA0A6D" w:rsidP="00BA0A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ская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Базовые понятия и знания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Налоговая система, налоги, пошлины, сборы, ИНН, налоговый вычет, пеня по налогам, налоговая декларация. 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Личностные характеристики и установки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Умения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Компетенции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Организовывать свои отношения с налоговыми органами, своевременно реагировать на изменения в налоговом законодательстве.                                                               </w:t>
            </w:r>
          </w:p>
        </w:tc>
      </w:tr>
      <w:tr w:rsidR="00BA0A6D" w:rsidRPr="00760D10" w:rsidTr="00BA0A6D">
        <w:trPr>
          <w:trHeight w:val="810"/>
        </w:trPr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Страхование: что и как надо страховать, чтобы не попасть в беду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Познавательная деятельность, познавательные беседы, исследователь</w:t>
            </w:r>
          </w:p>
          <w:p w:rsidR="00BA0A6D" w:rsidRPr="00760D10" w:rsidRDefault="00BA0A6D" w:rsidP="00BA0A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ская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Базовые понятия и знания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 Страховой рынок, основные участники страхового рынка, особенности развития страхового </w:t>
            </w: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Личностные характеристики и установки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Осознать цель, задачи и принципы страхования, понимать важность приобретения страховых услуг, уметь правильно выбирать страховые продукты, знать преимущества и недостатки условий договоров страхования.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Умения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Компетенции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      </w:r>
          </w:p>
        </w:tc>
      </w:tr>
      <w:tr w:rsidR="00BA0A6D" w:rsidRPr="00760D10" w:rsidTr="00BA0A6D">
        <w:trPr>
          <w:trHeight w:val="769"/>
        </w:trPr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Собственный бизнес: как создать  и не потерять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Познавательная деятельность, познавательные беседы, исследователь</w:t>
            </w:r>
          </w:p>
          <w:p w:rsidR="00BA0A6D" w:rsidRPr="00760D10" w:rsidRDefault="00BA0A6D" w:rsidP="00BA0A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ская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Базовые понятия и знания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 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Личностные характеристики и установки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Понимание порядка функционирования предприятия, роли уставного и </w:t>
            </w: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привлечённого капиталов в его развитии, необходимости учёта доходов и расходов в процессе ведения бизнеса.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Умения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Компетенции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  </w:t>
            </w:r>
          </w:p>
        </w:tc>
      </w:tr>
      <w:tr w:rsidR="00BA0A6D" w:rsidRPr="00760D10" w:rsidTr="00BA0A6D">
        <w:trPr>
          <w:trHeight w:val="769"/>
        </w:trPr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Финансовые мошенничества: как распознать и не стать жертвой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Познавательная деятельность, познавательные беседы, исследователь</w:t>
            </w:r>
          </w:p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ская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Базовые понятия и знания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риск, доходность, срок инвестирования, сумма инвестирования, финансовая пирамида, </w:t>
            </w: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Хайп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фишинг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фарминг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Виды рисков при осуществлении финансовых операций, способы защиты от финансовых мошенничеств, знания о признаках финансовой пирамиды.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Личностные характеристики и установки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Понимание взаимосвязей риск – 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Умения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</w:t>
            </w: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множества инвестиционных предложений, отличить </w:t>
            </w: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фишинговый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сайт от подлинного, защитить себя от </w:t>
            </w: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фарминга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фишинга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Компетенции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      </w:r>
          </w:p>
        </w:tc>
      </w:tr>
      <w:tr w:rsidR="00BA0A6D" w:rsidRPr="00760D10" w:rsidTr="00BA0A6D">
        <w:trPr>
          <w:trHeight w:val="769"/>
        </w:trPr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Обеспечен</w:t>
            </w:r>
          </w:p>
          <w:p w:rsidR="00BA0A6D" w:rsidRPr="00760D10" w:rsidRDefault="00BA0A6D" w:rsidP="00BA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ная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старость: возможности пенсионного накопления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Познавательная деятельность, познавательные беседы, исследователь</w:t>
            </w:r>
          </w:p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ская</w:t>
            </w:r>
            <w:proofErr w:type="spellEnd"/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практика обучающихся, интеллектуальные игры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Базовые понятия и знания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Пенсия, пенсионная система, пенсионный фонд, управляющая компания, негосударственное пенсионное обеспечение.  Способы финансового обеспечения в старости, основания получения пенсии по старости, знание о существующих программах пенсионного обеспечения.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Личностные характеристики и установки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Умения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u w:val="single"/>
                <w:lang w:eastAsia="ru-RU"/>
              </w:rPr>
              <w:t>Компетенции</w:t>
            </w:r>
          </w:p>
          <w:p w:rsidR="00BA0A6D" w:rsidRPr="00760D10" w:rsidRDefault="00BA0A6D" w:rsidP="00BA0A6D">
            <w:pPr>
              <w:spacing w:after="0" w:line="240" w:lineRule="auto"/>
              <w:ind w:left="34" w:right="39"/>
              <w:jc w:val="both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Управление собственными пенсионными накоплениями,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      </w:r>
          </w:p>
        </w:tc>
      </w:tr>
    </w:tbl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Раздел 7. Учебно-методическое и материально-техническое обеспечение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Интернет-ресурсы.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1. </w:t>
      </w:r>
      <w:hyperlink r:id="rId5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www.ereport.ru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обзорная информация по мировой экономике. 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2. </w:t>
      </w:r>
      <w:hyperlink r:id="rId6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www.cmmarket.ru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обзоры мировых товарных рынков.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3. </w:t>
      </w:r>
      <w:hyperlink r:id="rId7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http://www.rbc.ru/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информационное агентство «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РосБизнесКонсалтинг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4. </w:t>
      </w:r>
      <w:hyperlink r:id="rId8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www.stat.hse.ru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статистический портал Высшей школы экономики.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 5. </w:t>
      </w:r>
      <w:hyperlink r:id="rId9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www.cefir.ru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официальный сайт ЦЭФИР — Центра экономических и финансовых исследований.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6. </w:t>
      </w:r>
      <w:hyperlink r:id="rId10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www.beafnd.org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 — Фонд «Бюро экономического анализа».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7. </w:t>
      </w:r>
      <w:hyperlink r:id="rId11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www.vopreco.ru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официальный сайт журнала «Вопросы экономики».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8. </w:t>
      </w:r>
      <w:hyperlink r:id="rId12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www.tpprf.ru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– Торгово-промышленная палата Российской Федерации.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9. </w:t>
      </w:r>
      <w:hyperlink r:id="rId13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www.rts.micex.ru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– РТС и ММВБ – объединённая биржа.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10. </w:t>
      </w:r>
      <w:hyperlink r:id="rId14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www.economy.gov.ru/minec/main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 — Министерство экономического развития Российской Федерации.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11. </w:t>
      </w:r>
      <w:hyperlink r:id="rId15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www.minpromtorg.gov.ru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– Министерство промышленности и торговли Российской Федерации. 12. </w:t>
      </w:r>
      <w:hyperlink r:id="rId16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www.fas.gov.ru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– Федеральная антимонопольная служба России.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13. </w:t>
      </w:r>
      <w:hyperlink r:id="rId17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www.minfin.ru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Министерство финансов Российской Федерации.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14. </w:t>
      </w:r>
      <w:hyperlink r:id="rId18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www.cbr.ru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Центральный банк Российской Федерации.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15. </w:t>
      </w:r>
      <w:hyperlink r:id="rId19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www.gks.ru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– Федеральная служба государственной статистики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16. </w:t>
      </w:r>
      <w:hyperlink r:id="rId20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www.nalog.ru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Федеральная налоговая служба.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17. </w:t>
      </w:r>
      <w:hyperlink r:id="rId21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www.wto.ru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Всемирная торговая организация.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18. </w:t>
      </w:r>
      <w:hyperlink r:id="rId22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www.worldbank.org/eca/russian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— Всемирный банк.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19. </w:t>
      </w:r>
      <w:hyperlink r:id="rId23" w:tgtFrame="_blank" w:history="1">
        <w:r w:rsidRPr="00760D10">
          <w:rPr>
            <w:rFonts w:ascii="Times New Roman" w:eastAsia="Times New Roman" w:hAnsi="Times New Roman" w:cs="Times New Roman"/>
            <w:color w:val="267F8C"/>
            <w:sz w:val="26"/>
            <w:szCs w:val="26"/>
            <w:u w:val="single"/>
            <w:lang w:eastAsia="ru-RU"/>
          </w:rPr>
          <w:t>www.imf.org</w:t>
        </w:r>
      </w:hyperlink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– Международный валютный фонд.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20. </w:t>
      </w:r>
      <w:proofErr w:type="spellStart"/>
      <w:proofErr w:type="gram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хочумогузнаю.рф</w:t>
      </w:r>
      <w:proofErr w:type="spellEnd"/>
      <w:proofErr w:type="gramEnd"/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21. </w:t>
      </w:r>
      <w:proofErr w:type="spellStart"/>
      <w:proofErr w:type="gram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вашифинансы.рф</w:t>
      </w:r>
      <w:proofErr w:type="spellEnd"/>
      <w:proofErr w:type="gramEnd"/>
    </w:p>
    <w:p w:rsidR="00BA0A6D" w:rsidRPr="00760D10" w:rsidRDefault="00BA0A6D" w:rsidP="00BA0A6D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Литература: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1. Брехова Ю.В.,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Алмосов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А.П., Завьялов Д.Ю. Финансовая грамотность: материалы для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учащ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10–11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общеобр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орг. М.: ВИТАПРЕСС, 2015. 400 с.: ил. (Дополнительное образование: Сер. «Учимся разумному финансовому поведению»).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2. Брехова Ю.В.,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Алмосов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А.П., Завьялов Д.Ю. Финансовая грамотность: метод.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реком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для учителя. 10–11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общеобр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орг. М.: ВИТА-ПРЕСС, 2015. 80 с.: ил. (Дополнительное образование: Сер. «Учимся разумному финансовому поведению»).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3. Брехова Ю.В.,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Алмосов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А.П., Завьялов Д.Ю. Финансовая грамотность: материалы для родителей. 10–11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общеобр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орг. М.: ВИТА-ПРЕСС, 2015. 112 с.: ил. (Дополнительное образование: Сер. «Учимся разумному финансовому поведению»). учебная программа 45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4. Брехова Ю.В.,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Алмосов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А.П., Завьялов Д.Ю. Финансовая грамотность: контрольные измерительные материалы. 10–11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кл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  <w:proofErr w:type="spellStart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общеобр</w:t>
      </w:r>
      <w:proofErr w:type="spellEnd"/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орг. М.: ВИТА-ПРЕСС, 2015. 48 с.: ил. (Дополнительное образование: Сер. «Учимся разумному финансовому поведению»).</w:t>
      </w:r>
    </w:p>
    <w:p w:rsidR="00BA0A6D" w:rsidRPr="00760D10" w:rsidRDefault="00BA0A6D" w:rsidP="00BA0A6D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Технические средства обучения (средства ИКТ):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проектор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интерактивная доска</w:t>
      </w:r>
    </w:p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ноутбук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Раздел 8. Календарно-тематическое планирование.</w:t>
      </w:r>
    </w:p>
    <w:p w:rsidR="00BA0A6D" w:rsidRPr="00760D10" w:rsidRDefault="00BA0A6D" w:rsidP="00BA0A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10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551"/>
        <w:gridCol w:w="1461"/>
        <w:gridCol w:w="1899"/>
      </w:tblGrid>
      <w:tr w:rsidR="00BA0A6D" w:rsidRPr="00760D10" w:rsidTr="00BA0A6D"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</w:tr>
      <w:tr w:rsidR="00BA0A6D" w:rsidRPr="00760D10" w:rsidTr="00BA0A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6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Модуль 1. Банки: чем они могут быть вам полезны в жизни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Банковская 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rPr>
          <w:trHeight w:val="14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сберечь деньги с помощью депозитов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rPr>
          <w:trHeight w:val="141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Банки и золото: как сохранить сбережения в драгоценных металлах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rPr>
          <w:trHeight w:val="28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Кредит: зачем он нужен и где его получить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Какой кредит выбрать и какие условия кредитования предпочесть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6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  2. Фондовый рынок: как его использовать для роста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ценные бумаги и какие они бывают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Профессиональные участники рынка  ценных бумаг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 на рынке ценных бумаг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Зачем нужны паевые инвестиционные фонды</w:t>
            </w:r>
          </w:p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общие фонды банковского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Операции на валютном рынке: риски и возможности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6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3.    Налоги: почему их надо платить и чем грозит неуплата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налоги и почему их нужно платить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налогообложения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налогов, уплачиваемых физическими лицами в России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27-28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вычеты, или как вернуть налоги в семейный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6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4.   Страхование: что и как надо страховать, чтобы не попасть в беду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29-30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Страховой рынок России: коротко о главном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Имущественное страхование: как защитить нажитое состояние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0A6D" w:rsidRPr="00760D10" w:rsidTr="00BA0A6D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Итоговое занятие по курсу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BA0A6D" w:rsidRPr="00760D10" w:rsidRDefault="00BA0A6D" w:rsidP="00BA0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Календарно-тематическое планирование</w:t>
      </w:r>
    </w:p>
    <w:p w:rsidR="00BA0A6D" w:rsidRPr="00760D10" w:rsidRDefault="00BA0A6D" w:rsidP="00BA0A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11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5437"/>
        <w:gridCol w:w="1431"/>
        <w:gridCol w:w="1860"/>
      </w:tblGrid>
      <w:tr w:rsidR="00BA0A6D" w:rsidRPr="00760D10" w:rsidTr="00BA0A6D"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урока</w:t>
            </w:r>
          </w:p>
        </w:tc>
      </w:tr>
      <w:tr w:rsidR="00BA0A6D" w:rsidRPr="00760D10" w:rsidTr="00BA0A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A6D" w:rsidRPr="00760D10" w:rsidRDefault="00BA0A6D" w:rsidP="00BA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63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4.   Страхование: что и как надо страховать, чтобы не попасть в беду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 и жизнь — высшие блага: поговорим о личном страховании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rPr>
          <w:trHeight w:val="1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нанесён ущерб третьим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rPr>
          <w:trHeight w:val="1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5-6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63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5.  Собственный бизнес: как создать и не потерять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собственного бизнеса: что и как надо</w:t>
            </w:r>
          </w:p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сделать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Пишем бизнес-план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и доходы в собственном бизнесе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Налогообложение малого и среднего бизнеса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63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6.   Финансовые мошенничества: как распознать и не стать жертвой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риски и стратегии инвестирования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Финансовая пирамида, или как не попасть в</w:t>
            </w:r>
          </w:p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сети мошенников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финансовых пирамид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Сюжетно-ролевая обучающая игра. Ток-шоу «Все слышат»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63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Модуль 7. Обеспеченная старость: возможности пенсионного  накопления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27-28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Думай о пенсии смолоду, или как формируется пенсия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29-30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распорядиться своими пенсионными накоплениями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31-32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выбрать негосударственный пенсионный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A0A6D" w:rsidRPr="00760D10" w:rsidTr="00BA0A6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Итоговое занятие по курсу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6D" w:rsidRPr="00760D10" w:rsidRDefault="00BA0A6D" w:rsidP="00BA0A6D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A0A6D" w:rsidRPr="00760D10" w:rsidRDefault="00BA0A6D" w:rsidP="00BA0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60D1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D67B7C" w:rsidRDefault="00D67B7C"/>
    <w:sectPr w:rsidR="00D6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C14"/>
    <w:multiLevelType w:val="multilevel"/>
    <w:tmpl w:val="4B66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902DE"/>
    <w:multiLevelType w:val="multilevel"/>
    <w:tmpl w:val="6CD4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045B1"/>
    <w:multiLevelType w:val="multilevel"/>
    <w:tmpl w:val="C456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37"/>
    <w:rsid w:val="00197137"/>
    <w:rsid w:val="00760D10"/>
    <w:rsid w:val="00990502"/>
    <w:rsid w:val="00BA0A6D"/>
    <w:rsid w:val="00CC3878"/>
    <w:rsid w:val="00D6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A135"/>
  <w15:docId w15:val="{FD335A42-7387-4B54-B181-D1EB3D31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0A6D"/>
  </w:style>
  <w:style w:type="character" w:styleId="a3">
    <w:name w:val="Hyperlink"/>
    <w:basedOn w:val="a0"/>
    <w:uiPriority w:val="99"/>
    <w:semiHidden/>
    <w:unhideWhenUsed/>
    <w:rsid w:val="00BA0A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0A6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A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A0A6D"/>
  </w:style>
  <w:style w:type="paragraph" w:customStyle="1" w:styleId="worksheet-widgetcount">
    <w:name w:val="worksheet-widget__count"/>
    <w:basedOn w:val="a"/>
    <w:rsid w:val="00BA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sheetssubtitle">
    <w:name w:val="worksheets__subtitle"/>
    <w:basedOn w:val="a"/>
    <w:rsid w:val="00BA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sheetsbtn">
    <w:name w:val="worksheets__btn"/>
    <w:basedOn w:val="a0"/>
    <w:rsid w:val="00BA0A6D"/>
  </w:style>
  <w:style w:type="paragraph" w:styleId="a7">
    <w:name w:val="Balloon Text"/>
    <w:basedOn w:val="a"/>
    <w:link w:val="a8"/>
    <w:uiPriority w:val="99"/>
    <w:semiHidden/>
    <w:unhideWhenUsed/>
    <w:rsid w:val="00BA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3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3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95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121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918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22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51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0320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168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02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524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5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6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3161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06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2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9504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7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631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268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460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83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16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786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019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330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69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2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44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02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52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0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114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70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2919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07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8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78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48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9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1558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7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92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92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5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268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hse.ru/" TargetMode="External"/><Relationship Id="rId13" Type="http://schemas.openxmlformats.org/officeDocument/2006/relationships/hyperlink" Target="http://www.rts.micex.ru/" TargetMode="External"/><Relationship Id="rId18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to.ru/" TargetMode="External"/><Relationship Id="rId7" Type="http://schemas.openxmlformats.org/officeDocument/2006/relationships/hyperlink" Target="http://www.rbc.ru/" TargetMode="External"/><Relationship Id="rId12" Type="http://schemas.openxmlformats.org/officeDocument/2006/relationships/hyperlink" Target="http://www.tpprf.ru/" TargetMode="External"/><Relationship Id="rId17" Type="http://schemas.openxmlformats.org/officeDocument/2006/relationships/hyperlink" Target="http://www.minfin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s.gov.ru/" TargetMode="External"/><Relationship Id="rId20" Type="http://schemas.openxmlformats.org/officeDocument/2006/relationships/hyperlink" Target="http://www.nalo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mmarket.ru/" TargetMode="External"/><Relationship Id="rId11" Type="http://schemas.openxmlformats.org/officeDocument/2006/relationships/hyperlink" Target="http://www.vopreco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report.ru/" TargetMode="External"/><Relationship Id="rId15" Type="http://schemas.openxmlformats.org/officeDocument/2006/relationships/hyperlink" Target="http://www.minpromtorg.gov.ru/" TargetMode="External"/><Relationship Id="rId23" Type="http://schemas.openxmlformats.org/officeDocument/2006/relationships/hyperlink" Target="http://www.imf.org/" TargetMode="External"/><Relationship Id="rId10" Type="http://schemas.openxmlformats.org/officeDocument/2006/relationships/hyperlink" Target="http://www.beafnd.org/" TargetMode="External"/><Relationship Id="rId19" Type="http://schemas.openxmlformats.org/officeDocument/2006/relationships/hyperlink" Target="http://www.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fir.ru/" TargetMode="External"/><Relationship Id="rId14" Type="http://schemas.openxmlformats.org/officeDocument/2006/relationships/hyperlink" Target="http://www.economy.gov.ru/minec/main" TargetMode="External"/><Relationship Id="rId22" Type="http://schemas.openxmlformats.org/officeDocument/2006/relationships/hyperlink" Target="http://www.worldbank.org/eca/russ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Реутов</dc:creator>
  <cp:keywords/>
  <dc:description/>
  <cp:lastModifiedBy>1</cp:lastModifiedBy>
  <cp:revision>4</cp:revision>
  <dcterms:created xsi:type="dcterms:W3CDTF">2023-10-22T03:10:00Z</dcterms:created>
  <dcterms:modified xsi:type="dcterms:W3CDTF">2025-09-17T22:51:00Z</dcterms:modified>
</cp:coreProperties>
</file>